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923E9B">
      <w:pPr>
        <w:pStyle w:val="2"/>
        <w:spacing w:before="240" w:after="120"/>
        <w:ind w:firstLine="360" w:firstLineChars="100"/>
        <w:jc w:val="both"/>
        <w:rPr>
          <w:rFonts w:hint="eastAsia"/>
          <w:b w:val="0"/>
        </w:rPr>
      </w:pPr>
      <w:bookmarkStart w:id="0" w:name="_GoBack"/>
      <w:bookmarkEnd w:id="0"/>
      <w:r>
        <w:rPr>
          <w:b w:val="0"/>
          <w:bCs/>
        </w:rPr>
        <w:t>文章的中文标题</w:t>
      </w:r>
      <w:r>
        <w:rPr>
          <w:rFonts w:hint="eastAsia"/>
          <w:b w:val="0"/>
          <w:bCs/>
        </w:rPr>
        <w:t>(小2号，方正小标宋_GBK，加粗，居中)</w:t>
      </w:r>
    </w:p>
    <w:p w14:paraId="3F430181">
      <w:pPr>
        <w:pStyle w:val="6"/>
        <w:spacing w:before="100" w:after="100" w:line="330" w:lineRule="exact"/>
        <w:ind w:firstLine="280" w:firstLineChars="100"/>
        <w:jc w:val="both"/>
        <w:rPr>
          <w:rFonts w:hint="eastAsia"/>
        </w:rPr>
      </w:pPr>
      <w:r>
        <w:rPr/>
        <w:sym w:font="Wingdings" w:char="00A8"/>
      </w:r>
      <w:r>
        <w:t>作者1中文名，作者2中文名，作者3中文名</w:t>
      </w:r>
      <w:r>
        <w:rPr>
          <w:vertAlign w:val="superscript"/>
        </w:rPr>
        <w:t>*</w:t>
      </w:r>
      <w:r>
        <w:t>，作者4中文名</w:t>
      </w:r>
      <w:r>
        <w:rPr/>
        <w:footnoteReference w:id="0" w:customMarkFollows="1"/>
        <w:sym w:font="Symbol" w:char="F020"/>
      </w:r>
    </w:p>
    <w:p w14:paraId="39127C8A">
      <w:pPr>
        <w:snapToGrid w:val="0"/>
        <w:spacing w:before="60"/>
        <w:ind w:firstLine="420"/>
        <w:rPr>
          <w:sz w:val="18"/>
        </w:rPr>
      </w:pPr>
    </w:p>
    <w:p w14:paraId="37B4DF01">
      <w:pPr>
        <w:snapToGrid w:val="0"/>
        <w:spacing w:line="260" w:lineRule="exact"/>
        <w:ind w:firstLine="360" w:firstLineChars="200"/>
        <w:rPr>
          <w:rFonts w:eastAsia="楷体_GB2312"/>
          <w:sz w:val="18"/>
        </w:rPr>
      </w:pPr>
      <w:r>
        <w:rPr>
          <w:rFonts w:hint="eastAsia"/>
          <w:sz w:val="18"/>
        </w:rPr>
        <w:t>[</w:t>
      </w:r>
      <w:r>
        <w:rPr>
          <w:rFonts w:eastAsia="黑体"/>
          <w:sz w:val="18"/>
        </w:rPr>
        <w:t>摘</w:t>
      </w:r>
      <w:r>
        <w:rPr>
          <w:rFonts w:hint="eastAsia" w:eastAsia="黑体"/>
          <w:sz w:val="18"/>
        </w:rPr>
        <w:t xml:space="preserve">　 </w:t>
      </w:r>
      <w:r>
        <w:rPr>
          <w:rFonts w:eastAsia="黑体"/>
          <w:sz w:val="18"/>
        </w:rPr>
        <w:t>要</w:t>
      </w:r>
      <w:r>
        <w:rPr>
          <w:rFonts w:hint="eastAsia"/>
          <w:sz w:val="18"/>
        </w:rPr>
        <w:t>]</w:t>
      </w:r>
      <w:r>
        <w:rPr>
          <w:rFonts w:eastAsia="黑体"/>
          <w:b/>
          <w:sz w:val="18"/>
        </w:rPr>
        <w:t xml:space="preserve"> </w:t>
      </w:r>
      <w:r>
        <w:rPr>
          <w:rFonts w:eastAsia="仿宋_GB2312"/>
          <w:b/>
          <w:sz w:val="18"/>
        </w:rPr>
        <w:t xml:space="preserve"> </w:t>
      </w:r>
      <w:r>
        <w:rPr>
          <w:rFonts w:eastAsia="楷体_GB2312"/>
          <w:sz w:val="18"/>
          <w:szCs w:val="18"/>
        </w:rPr>
        <w:t>中文摘要(200个中文字以上</w:t>
      </w:r>
      <w:r>
        <w:rPr>
          <w:rFonts w:hint="eastAsia" w:eastAsia="楷体_GB2312"/>
          <w:sz w:val="18"/>
          <w:szCs w:val="18"/>
        </w:rPr>
        <w:t>，中文是5号，楷体，英文是Times New Roman</w:t>
      </w:r>
      <w:r>
        <w:rPr>
          <w:rFonts w:eastAsia="楷体_GB2312"/>
          <w:sz w:val="18"/>
          <w:szCs w:val="18"/>
        </w:rPr>
        <w:t>) 。</w:t>
      </w:r>
    </w:p>
    <w:p w14:paraId="232A0B20">
      <w:pPr>
        <w:spacing w:line="240" w:lineRule="exact"/>
        <w:ind w:firstLine="360" w:firstLineChars="200"/>
        <w:rPr>
          <w:rFonts w:eastAsia="楷体_GB2312"/>
          <w:sz w:val="18"/>
          <w:szCs w:val="18"/>
        </w:rPr>
      </w:pPr>
      <w:r>
        <w:rPr>
          <w:rFonts w:hint="eastAsia" w:eastAsia="黑体"/>
          <w:sz w:val="18"/>
        </w:rPr>
        <w:t>[</w:t>
      </w:r>
      <w:r>
        <w:rPr>
          <w:rFonts w:eastAsia="黑体"/>
          <w:sz w:val="18"/>
        </w:rPr>
        <w:t>关键 词</w:t>
      </w:r>
      <w:r>
        <w:rPr>
          <w:rFonts w:hint="eastAsia" w:eastAsia="黑体"/>
          <w:sz w:val="18"/>
        </w:rPr>
        <w:t>]</w:t>
      </w:r>
      <w:r>
        <w:rPr>
          <w:rFonts w:eastAsia="黑体"/>
          <w:b/>
          <w:sz w:val="18"/>
        </w:rPr>
        <w:t xml:space="preserve"> </w:t>
      </w:r>
      <w:r>
        <w:rPr>
          <w:rFonts w:eastAsia="仿宋_GB2312"/>
          <w:b/>
          <w:sz w:val="18"/>
        </w:rPr>
        <w:t xml:space="preserve"> </w:t>
      </w:r>
      <w:r>
        <w:rPr>
          <w:rFonts w:eastAsia="楷体_GB2312"/>
          <w:sz w:val="18"/>
          <w:szCs w:val="18"/>
        </w:rPr>
        <w:t>中文关键词1;  中文关键词2;  中文关键词3;  中文关键词4;  中文关键词4(4～7个)</w:t>
      </w:r>
      <w:r>
        <w:rPr>
          <w:rFonts w:hint="eastAsia" w:eastAsia="楷体_GB2312"/>
          <w:sz w:val="18"/>
          <w:szCs w:val="18"/>
        </w:rPr>
        <w:t>( 5号，楷体)</w:t>
      </w:r>
    </w:p>
    <w:p w14:paraId="217341F4">
      <w:pPr>
        <w:spacing w:line="240" w:lineRule="exact"/>
        <w:ind w:firstLine="360" w:firstLineChars="200"/>
        <w:rPr>
          <w:rFonts w:eastAsia="仿宋_GB2312"/>
          <w:sz w:val="18"/>
        </w:rPr>
      </w:pPr>
      <w:r>
        <w:rPr>
          <w:rFonts w:hint="eastAsia" w:eastAsia="黑体"/>
          <w:sz w:val="18"/>
        </w:rPr>
        <w:t>[</w:t>
      </w:r>
      <w:r>
        <w:rPr>
          <w:rFonts w:eastAsia="黑体"/>
          <w:sz w:val="18"/>
        </w:rPr>
        <w:t>中图分类号</w:t>
      </w:r>
      <w:r>
        <w:rPr>
          <w:rFonts w:hint="eastAsia" w:eastAsia="黑体"/>
          <w:sz w:val="18"/>
        </w:rPr>
        <w:t>]</w:t>
      </w:r>
      <w:r>
        <w:rPr>
          <w:rFonts w:eastAsia="黑体"/>
          <w:b/>
          <w:sz w:val="18"/>
        </w:rPr>
        <w:t xml:space="preserve"> </w:t>
      </w:r>
      <w:r>
        <w:rPr>
          <w:rFonts w:hint="eastAsia" w:eastAsia="黑体"/>
          <w:b/>
          <w:sz w:val="18"/>
        </w:rPr>
        <w:t xml:space="preserve"> </w:t>
      </w:r>
      <w:r>
        <w:rPr>
          <w:rFonts w:eastAsia="楷体_GB2312"/>
          <w:sz w:val="18"/>
          <w:szCs w:val="18"/>
        </w:rPr>
        <w:t xml:space="preserve"> </w:t>
      </w:r>
      <w:r>
        <w:rPr>
          <w:rFonts w:eastAsia="楷体_GB2312"/>
          <w:sz w:val="18"/>
        </w:rPr>
        <w:t xml:space="preserve"> </w:t>
      </w:r>
      <w:r>
        <w:rPr>
          <w:rFonts w:eastAsia="仿宋_GB2312"/>
          <w:sz w:val="18"/>
        </w:rPr>
        <w:t xml:space="preserve">  </w:t>
      </w:r>
      <w:r>
        <w:rPr>
          <w:rFonts w:eastAsia="黑体"/>
          <w:sz w:val="18"/>
        </w:rPr>
        <w:t xml:space="preserve"> </w:t>
      </w:r>
      <w:r>
        <w:rPr>
          <w:rFonts w:eastAsia="仿宋_GB2312"/>
          <w:sz w:val="18"/>
        </w:rPr>
        <w:t xml:space="preserve">      </w:t>
      </w:r>
      <w:r>
        <w:rPr>
          <w:rFonts w:hint="eastAsia" w:eastAsia="仿宋_GB2312"/>
          <w:sz w:val="18"/>
        </w:rPr>
        <w:t>[</w:t>
      </w:r>
      <w:r>
        <w:rPr>
          <w:rFonts w:eastAsia="黑体"/>
          <w:sz w:val="18"/>
        </w:rPr>
        <w:t>文献标识码</w:t>
      </w:r>
      <w:r>
        <w:rPr>
          <w:rFonts w:hint="eastAsia" w:eastAsia="黑体"/>
          <w:sz w:val="18"/>
        </w:rPr>
        <w:t>]</w:t>
      </w:r>
      <w:r>
        <w:rPr>
          <w:rFonts w:eastAsia="仿宋_GB2312"/>
          <w:b/>
          <w:sz w:val="18"/>
        </w:rPr>
        <w:t xml:space="preserve"> </w:t>
      </w:r>
      <w:r>
        <w:rPr>
          <w:rFonts w:eastAsia="仿宋_GB2312"/>
          <w:sz w:val="18"/>
        </w:rPr>
        <w:t>A</w:t>
      </w:r>
    </w:p>
    <w:p w14:paraId="2B2C390D">
      <w:pPr>
        <w:pStyle w:val="21"/>
        <w:widowControl w:val="0"/>
        <w:adjustRightInd/>
        <w:snapToGrid/>
        <w:spacing w:line="280" w:lineRule="exact"/>
        <w:jc w:val="center"/>
        <w:rPr>
          <w:rFonts w:eastAsia="宋体"/>
          <w:b/>
          <w:sz w:val="32"/>
        </w:rPr>
      </w:pPr>
    </w:p>
    <w:p w14:paraId="51A46574">
      <w:pPr>
        <w:snapToGrid w:val="0"/>
        <w:spacing w:line="312" w:lineRule="exact"/>
        <w:ind w:firstLine="420" w:firstLineChars="200"/>
      </w:pPr>
      <w:r>
        <w:t>引言部分(中文：5号</w:t>
      </w:r>
      <w:r>
        <w:rPr>
          <w:rFonts w:hint="eastAsia"/>
        </w:rPr>
        <w:t>方正书宋_GBK</w:t>
      </w:r>
      <w:r>
        <w:t>，英文：Times New Roman)</w:t>
      </w:r>
    </w:p>
    <w:p w14:paraId="7FD83771">
      <w:pPr>
        <w:pStyle w:val="3"/>
        <w:jc w:val="center"/>
      </w:pPr>
      <w:r>
        <w:rPr>
          <w:rFonts w:hint="eastAsia"/>
        </w:rPr>
        <w:t>一、</w:t>
      </w:r>
      <w:r>
        <w:t xml:space="preserve"> </w:t>
      </w:r>
      <w:r>
        <w:rPr>
          <w:bCs/>
        </w:rPr>
        <w:t xml:space="preserve"> </w:t>
      </w:r>
      <w:r>
        <w:rPr>
          <w:b w:val="0"/>
          <w:bCs/>
        </w:rPr>
        <w:t>一级标题(4号</w:t>
      </w:r>
      <w:r>
        <w:rPr>
          <w:rFonts w:hint="eastAsia"/>
          <w:b w:val="0"/>
          <w:bCs/>
        </w:rPr>
        <w:t>方正小标宋_GBK，加粗</w:t>
      </w:r>
      <w:r>
        <w:rPr>
          <w:b w:val="0"/>
          <w:bCs/>
        </w:rPr>
        <w:t>)</w:t>
      </w:r>
    </w:p>
    <w:p w14:paraId="688758FA">
      <w:pPr>
        <w:snapToGrid w:val="0"/>
        <w:spacing w:line="312" w:lineRule="exact"/>
        <w:rPr>
          <w:b/>
          <w:bCs/>
        </w:rPr>
      </w:pPr>
      <w:r>
        <w:t xml:space="preserve">   正文部分(中文：5号</w:t>
      </w:r>
      <w:r>
        <w:rPr>
          <w:rFonts w:hint="eastAsia"/>
        </w:rPr>
        <w:t>方正书宋_GBK</w:t>
      </w:r>
      <w:r>
        <w:t>，英文：Times New Roman)</w:t>
      </w:r>
    </w:p>
    <w:p w14:paraId="6693DAE1">
      <w:pPr>
        <w:pStyle w:val="3"/>
        <w:jc w:val="center"/>
      </w:pPr>
      <w:r>
        <w:rPr>
          <w:rFonts w:hint="eastAsia"/>
        </w:rPr>
        <w:t>二、</w:t>
      </w:r>
      <w:r>
        <w:t xml:space="preserve"> </w:t>
      </w:r>
      <w:r>
        <w:rPr>
          <w:bCs/>
        </w:rPr>
        <w:t xml:space="preserve"> </w:t>
      </w:r>
      <w:r>
        <w:rPr>
          <w:b w:val="0"/>
          <w:bCs/>
        </w:rPr>
        <w:t>一级标题(4号</w:t>
      </w:r>
      <w:r>
        <w:rPr>
          <w:rFonts w:hint="eastAsia"/>
          <w:b w:val="0"/>
          <w:bCs/>
        </w:rPr>
        <w:t>方正小标宋_GBK，加粗</w:t>
      </w:r>
      <w:r>
        <w:rPr>
          <w:b w:val="0"/>
          <w:bCs/>
        </w:rPr>
        <w:t>)</w:t>
      </w:r>
    </w:p>
    <w:p w14:paraId="385F24F4">
      <w:pPr>
        <w:pStyle w:val="5"/>
        <w:jc w:val="center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  <w:b w:val="0"/>
          <w:bCs/>
        </w:rPr>
        <w:t>（一）</w:t>
      </w:r>
      <w:r>
        <w:rPr>
          <w:rFonts w:hint="eastAsia" w:ascii="楷体" w:hAnsi="楷体" w:eastAsia="楷体" w:cs="楷体"/>
        </w:rPr>
        <w:t xml:space="preserve">  </w:t>
      </w:r>
      <w:r>
        <w:rPr>
          <w:rFonts w:hint="eastAsia" w:ascii="楷体" w:hAnsi="楷体" w:eastAsia="楷体" w:cs="楷体"/>
          <w:b w:val="0"/>
          <w:iCs/>
        </w:rPr>
        <w:t>二级标题(</w:t>
      </w:r>
      <w:r>
        <w:rPr>
          <w:rFonts w:eastAsia="楷体"/>
          <w:b w:val="0"/>
          <w:iCs/>
        </w:rPr>
        <w:t>5</w:t>
      </w:r>
      <w:r>
        <w:rPr>
          <w:rFonts w:hint="eastAsia" w:ascii="楷体" w:hAnsi="楷体" w:eastAsia="楷体" w:cs="楷体"/>
          <w:b w:val="0"/>
          <w:iCs/>
        </w:rPr>
        <w:t>号方正黑体_GBK)</w:t>
      </w:r>
    </w:p>
    <w:p w14:paraId="23004F4A">
      <w:pPr>
        <w:snapToGrid w:val="0"/>
        <w:spacing w:line="312" w:lineRule="exact"/>
        <w:ind w:firstLine="420" w:firstLineChars="200"/>
      </w:pPr>
      <w:r>
        <w:t>正文部分(中文：5号</w:t>
      </w:r>
      <w:r>
        <w:rPr>
          <w:rFonts w:hint="eastAsia"/>
        </w:rPr>
        <w:t>方正书宋_GBK</w:t>
      </w:r>
      <w:r>
        <w:t>，英文：Times New Roman)</w:t>
      </w:r>
    </w:p>
    <w:p w14:paraId="77706B1C">
      <w:pPr>
        <w:pStyle w:val="3"/>
        <w:jc w:val="center"/>
        <w:rPr>
          <w:rFonts w:hint="eastAsia" w:ascii="楷体" w:hAnsi="楷体" w:eastAsia="楷体" w:cs="楷体"/>
          <w:b w:val="0"/>
          <w:sz w:val="21"/>
          <w:szCs w:val="21"/>
        </w:rPr>
      </w:pPr>
      <w:r>
        <w:rPr>
          <w:rFonts w:hint="eastAsia" w:ascii="楷体" w:hAnsi="楷体" w:eastAsia="楷体" w:cs="楷体"/>
          <w:b w:val="0"/>
          <w:sz w:val="21"/>
          <w:szCs w:val="21"/>
        </w:rPr>
        <w:t>（二）二级标题(5号方正黑体_GBK)</w:t>
      </w:r>
    </w:p>
    <w:p w14:paraId="16679E49">
      <w:pPr>
        <w:snapToGrid w:val="0"/>
        <w:spacing w:line="312" w:lineRule="exact"/>
        <w:ind w:firstLine="420" w:firstLineChars="200"/>
      </w:pPr>
      <w:r>
        <w:t>正文部分(中文：5号</w:t>
      </w:r>
      <w:r>
        <w:rPr>
          <w:rFonts w:hint="eastAsia"/>
        </w:rPr>
        <w:t>方正书宋_GBK</w:t>
      </w:r>
      <w:r>
        <w:t>，英文：Times New Roman)</w:t>
      </w:r>
    </w:p>
    <w:p w14:paraId="38DF8DC7">
      <w:pPr>
        <w:snapToGrid w:val="0"/>
        <w:spacing w:line="360" w:lineRule="auto"/>
        <w:ind w:firstLine="420" w:firstLineChars="200"/>
        <w:jc w:val="center"/>
        <w:rPr>
          <w:rFonts w:hint="eastAsia"/>
          <w:szCs w:val="21"/>
        </w:rPr>
      </w:pPr>
      <w:r>
        <w:rPr>
          <w:rFonts w:hint="eastAsia"/>
          <w:color w:val="FF0000"/>
          <w:szCs w:val="21"/>
        </w:rPr>
        <w:t>公式：</w:t>
      </w:r>
      <w:r>
        <w:rPr>
          <w:position w:val="-30"/>
          <w:szCs w:val="21"/>
        </w:rPr>
        <w:object>
          <v:shape id="_x0000_i1025" o:spt="75" type="#_x0000_t75" style="height:35pt;width:195.5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f"/>
            <w10:wrap type="none"/>
            <w10:anchorlock/>
          </v:shape>
          <o:OLEObject Type="Embed" ProgID="Equation.DSMT4" ShapeID="_x0000_i1025" DrawAspect="Content" ObjectID="_1468075725" r:id="rId8">
            <o:LockedField>false</o:LockedField>
          </o:OLEObject>
        </w:object>
      </w:r>
    </w:p>
    <w:p w14:paraId="27EE436E">
      <w:pPr>
        <w:snapToGrid w:val="0"/>
        <w:spacing w:line="360" w:lineRule="auto"/>
        <w:ind w:firstLine="420" w:firstLineChars="200"/>
        <w:jc w:val="center"/>
        <w:rPr>
          <w:rFonts w:hint="eastAsia"/>
        </w:rPr>
      </w:pPr>
      <w:r>
        <w:rPr>
          <w:position w:val="-32"/>
          <w:szCs w:val="21"/>
        </w:rPr>
        <w:object>
          <v:shape id="_x0000_i1026" o:spt="75" type="#_x0000_t75" style="height:35pt;width:221pt;" o:ole="t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10">
            <o:LockedField>false</o:LockedField>
          </o:OLEObject>
        </w:object>
      </w:r>
    </w:p>
    <w:p w14:paraId="217E3519">
      <w:pPr>
        <w:pStyle w:val="3"/>
        <w:jc w:val="center"/>
      </w:pPr>
      <w:r>
        <w:rPr>
          <w:rFonts w:hint="eastAsia"/>
        </w:rPr>
        <w:t>五、</w:t>
      </w:r>
      <w:r>
        <w:t xml:space="preserve"> </w:t>
      </w:r>
      <w:r>
        <w:rPr>
          <w:bCs/>
        </w:rPr>
        <w:t xml:space="preserve"> </w:t>
      </w:r>
      <w:r>
        <w:rPr>
          <w:rFonts w:hint="eastAsia"/>
          <w:b w:val="0"/>
          <w:bCs/>
        </w:rPr>
        <w:t>结论或结束语</w:t>
      </w:r>
      <w:r>
        <w:rPr>
          <w:b w:val="0"/>
          <w:bCs/>
        </w:rPr>
        <w:t>(4号</w:t>
      </w:r>
      <w:r>
        <w:rPr>
          <w:rFonts w:hint="eastAsia"/>
          <w:b w:val="0"/>
          <w:bCs/>
        </w:rPr>
        <w:t>方正小标宋_GBK，加粗</w:t>
      </w:r>
      <w:r>
        <w:rPr>
          <w:b w:val="0"/>
          <w:bCs/>
        </w:rPr>
        <w:t>)</w:t>
      </w:r>
    </w:p>
    <w:p w14:paraId="0E494760">
      <w:pPr>
        <w:adjustRightInd w:val="0"/>
        <w:spacing w:line="312" w:lineRule="exact"/>
        <w:ind w:firstLine="420" w:firstLineChars="200"/>
        <w:rPr>
          <w:rFonts w:hint="eastAsia"/>
        </w:rPr>
      </w:pPr>
      <w:r>
        <w:t>正文部分(中文：5号</w:t>
      </w:r>
      <w:r>
        <w:rPr>
          <w:rFonts w:hint="eastAsia"/>
        </w:rPr>
        <w:t>方正书宋_GBK</w:t>
      </w:r>
      <w:r>
        <w:t>，英文：Times New Roman)</w:t>
      </w:r>
    </w:p>
    <w:p w14:paraId="15A7641A">
      <w:pPr>
        <w:adjustRightInd w:val="0"/>
        <w:spacing w:line="312" w:lineRule="exact"/>
        <w:ind w:firstLine="420" w:firstLineChars="200"/>
        <w:rPr>
          <w:rFonts w:hint="eastAsia"/>
          <w:szCs w:val="21"/>
        </w:rPr>
      </w:pPr>
    </w:p>
    <w:p w14:paraId="1D9C4697">
      <w:pPr>
        <w:adjustRightInd w:val="0"/>
        <w:spacing w:line="312" w:lineRule="exact"/>
        <w:jc w:val="left"/>
        <w:rPr>
          <w:rFonts w:hint="eastAsia" w:eastAsia="黑体"/>
        </w:rPr>
      </w:pPr>
      <w:r>
        <w:rPr>
          <w:rFonts w:eastAsia="黑体"/>
        </w:rPr>
        <w:t>参考文献</w:t>
      </w:r>
    </w:p>
    <w:p w14:paraId="1F14643E">
      <w:pPr>
        <w:adjustRightInd w:val="0"/>
        <w:spacing w:line="312" w:lineRule="exact"/>
        <w:jc w:val="left"/>
        <w:rPr>
          <w:rFonts w:eastAsia="楷体_GB2312"/>
          <w:sz w:val="18"/>
          <w:szCs w:val="18"/>
        </w:rPr>
      </w:pPr>
      <w:r>
        <w:rPr>
          <w:rFonts w:eastAsia="楷体_GB2312"/>
          <w:sz w:val="18"/>
          <w:szCs w:val="18"/>
        </w:rPr>
        <w:t>(中文：小5号</w:t>
      </w:r>
      <w:r>
        <w:rPr>
          <w:rFonts w:hint="eastAsia" w:eastAsia="楷体_GB2312"/>
          <w:sz w:val="18"/>
          <w:szCs w:val="18"/>
        </w:rPr>
        <w:t>方正书宋_GBK</w:t>
      </w:r>
      <w:r>
        <w:rPr>
          <w:rFonts w:eastAsia="楷体_GB2312"/>
          <w:sz w:val="18"/>
          <w:szCs w:val="18"/>
        </w:rPr>
        <w:t>，英文：Times New Roman</w:t>
      </w:r>
      <w:r>
        <w:rPr>
          <w:rFonts w:hint="eastAsia" w:eastAsia="楷体_GB2312"/>
          <w:sz w:val="18"/>
          <w:szCs w:val="18"/>
        </w:rPr>
        <w:t>，10条以上</w:t>
      </w:r>
      <w:r>
        <w:rPr>
          <w:rFonts w:eastAsia="楷体_GB2312"/>
          <w:sz w:val="18"/>
          <w:szCs w:val="18"/>
        </w:rPr>
        <w:t>)</w:t>
      </w:r>
    </w:p>
    <w:p w14:paraId="440F2F67">
      <w:pPr>
        <w:snapToGrid w:val="0"/>
        <w:spacing w:line="240" w:lineRule="exact"/>
        <w:ind w:left="270" w:hanging="270" w:hangingChars="150"/>
        <w:rPr>
          <w:sz w:val="18"/>
          <w:szCs w:val="18"/>
        </w:rPr>
      </w:pPr>
      <w:r>
        <w:rPr>
          <w:sz w:val="18"/>
          <w:szCs w:val="18"/>
        </w:rPr>
        <w:t>[1]</w:t>
      </w:r>
      <w:r>
        <w:rPr>
          <w:sz w:val="18"/>
          <w:szCs w:val="18"/>
        </w:rPr>
        <w:tab/>
      </w:r>
      <w:r>
        <w:rPr>
          <w:sz w:val="18"/>
          <w:szCs w:val="18"/>
        </w:rPr>
        <w:t>SONG B S, GRAY P R. A precision curvature-compensated CMOS bandgap reference[J]. IEEE Journal of Solid-State Circuits, 1983, 18(6): 634-643.</w:t>
      </w:r>
    </w:p>
    <w:p w14:paraId="0C914303">
      <w:pPr>
        <w:snapToGrid w:val="0"/>
        <w:spacing w:line="240" w:lineRule="exact"/>
        <w:ind w:left="270" w:hanging="270" w:hangingChars="150"/>
        <w:rPr>
          <w:sz w:val="18"/>
          <w:szCs w:val="18"/>
        </w:rPr>
      </w:pPr>
      <w:r>
        <w:rPr>
          <w:sz w:val="18"/>
          <w:szCs w:val="18"/>
        </w:rPr>
        <w:t>[2]</w:t>
      </w:r>
      <w:r>
        <w:rPr>
          <w:sz w:val="18"/>
          <w:szCs w:val="18"/>
        </w:rPr>
        <w:tab/>
      </w:r>
      <w:r>
        <w:rPr>
          <w:sz w:val="18"/>
          <w:szCs w:val="18"/>
        </w:rPr>
        <w:t>AVOINNE C, RASHID T, CHOWDHURY V, et al. Second-order compensated bandgap reference with convex correction[J]. Electronic Letters, 2005, 41(5): 276-277.</w:t>
      </w:r>
    </w:p>
    <w:p w14:paraId="5B98B483">
      <w:pPr>
        <w:snapToGrid w:val="0"/>
        <w:spacing w:line="240" w:lineRule="exact"/>
        <w:ind w:left="270" w:hanging="270" w:hangingChars="150"/>
        <w:rPr>
          <w:sz w:val="18"/>
          <w:szCs w:val="18"/>
        </w:rPr>
      </w:pPr>
      <w:r>
        <w:rPr>
          <w:sz w:val="18"/>
          <w:szCs w:val="18"/>
        </w:rPr>
        <w:t>[3]</w:t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KER </w:t>
      </w:r>
      <w:r>
        <w:rPr>
          <w:rFonts w:hint="eastAsia"/>
          <w:sz w:val="18"/>
          <w:szCs w:val="18"/>
        </w:rPr>
        <w:t>M D</w:t>
      </w:r>
      <w:r>
        <w:rPr>
          <w:sz w:val="18"/>
          <w:szCs w:val="18"/>
        </w:rPr>
        <w:t xml:space="preserve">, CHEN </w:t>
      </w:r>
      <w:r>
        <w:rPr>
          <w:rFonts w:hint="eastAsia"/>
          <w:sz w:val="18"/>
          <w:szCs w:val="18"/>
        </w:rPr>
        <w:t>J S</w:t>
      </w:r>
      <w:r>
        <w:rPr>
          <w:sz w:val="18"/>
          <w:szCs w:val="18"/>
        </w:rPr>
        <w:t xml:space="preserve">, CHU </w:t>
      </w:r>
      <w:r>
        <w:rPr>
          <w:rFonts w:hint="eastAsia"/>
          <w:sz w:val="18"/>
          <w:szCs w:val="18"/>
        </w:rPr>
        <w:t>C Y</w:t>
      </w:r>
      <w:r>
        <w:rPr>
          <w:sz w:val="18"/>
          <w:szCs w:val="18"/>
        </w:rPr>
        <w:t xml:space="preserve">. New curvature-compensation technique for CMOS bandgap reference with sub-1-V operation[C]//The 2005 IEEE International Symposium on Circuits and Systems. </w:t>
      </w:r>
      <w:r>
        <w:rPr>
          <w:rFonts w:hint="eastAsia"/>
          <w:sz w:val="18"/>
          <w:szCs w:val="18"/>
        </w:rPr>
        <w:t>Newyork</w:t>
      </w:r>
      <w:r>
        <w:rPr>
          <w:sz w:val="18"/>
          <w:szCs w:val="18"/>
        </w:rPr>
        <w:t xml:space="preserve">: IEEE, 2005, 4: 3861-3864. </w:t>
      </w:r>
    </w:p>
    <w:p w14:paraId="0C06B5D4">
      <w:pPr>
        <w:snapToGrid w:val="0"/>
        <w:spacing w:line="240" w:lineRule="exact"/>
        <w:ind w:left="270" w:hanging="270" w:hangingChars="150"/>
        <w:rPr>
          <w:rFonts w:hint="eastAsia" w:ascii="宋体" w:hAnsi="宋体" w:cs="宋体"/>
          <w:sz w:val="18"/>
          <w:szCs w:val="18"/>
        </w:rPr>
      </w:pPr>
      <w:r>
        <w:rPr>
          <w:sz w:val="18"/>
          <w:szCs w:val="18"/>
        </w:rPr>
        <w:t>[4]</w:t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 xml:space="preserve">秦波, 贾晨, 陈志良, 等. 1 V电源非线性补偿的高温度稳定性电压带隙基准源[J]. 半导体学报, 2006, 27(11): 2035-2039. </w:t>
      </w:r>
    </w:p>
    <w:p w14:paraId="4413AFF2">
      <w:pPr>
        <w:snapToGrid w:val="0"/>
        <w:spacing w:line="240" w:lineRule="exact"/>
        <w:ind w:left="270" w:hanging="270" w:hangingChars="150"/>
        <w:rPr>
          <w:rFonts w:hint="eastAsia" w:ascii="宋体" w:hAnsi="宋体" w:cs="宋体"/>
          <w:sz w:val="18"/>
          <w:szCs w:val="18"/>
        </w:rPr>
      </w:pPr>
      <w:r>
        <w:rPr>
          <w:rFonts w:hint="eastAsia"/>
          <w:sz w:val="18"/>
          <w:szCs w:val="18"/>
        </w:rPr>
        <w:t>[5]</w:t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>姜韬, 杨华中. 多点曲率补偿的带隙基准电压源设计方法[J]. 半导体学报,2007, 28(4): 490-495.</w:t>
      </w:r>
    </w:p>
    <w:p w14:paraId="3C70B9A5">
      <w:pPr>
        <w:snapToGrid w:val="0"/>
        <w:spacing w:line="240" w:lineRule="exact"/>
        <w:ind w:left="270" w:hanging="270" w:hangingChars="150"/>
        <w:rPr>
          <w:sz w:val="18"/>
          <w:szCs w:val="18"/>
        </w:rPr>
      </w:pPr>
      <w:r>
        <w:rPr>
          <w:sz w:val="18"/>
          <w:szCs w:val="18"/>
        </w:rPr>
        <w:t>[6]</w:t>
      </w:r>
      <w:r>
        <w:rPr>
          <w:sz w:val="18"/>
          <w:szCs w:val="18"/>
        </w:rPr>
        <w:tab/>
      </w:r>
      <w:r>
        <w:rPr>
          <w:sz w:val="18"/>
          <w:szCs w:val="18"/>
        </w:rPr>
        <w:t>LEUNQ C Y, LEUNQ K N, MOK P K T. Design of a 1.5-V high-order curvature-compensated CMOS bandgap reference[J]. Circuit and System, 2004, 1: 49-52.</w:t>
      </w:r>
    </w:p>
    <w:p w14:paraId="302A8D01">
      <w:pPr>
        <w:snapToGrid w:val="0"/>
        <w:spacing w:line="240" w:lineRule="exact"/>
        <w:ind w:left="270" w:hanging="270" w:hangingChars="150"/>
        <w:rPr>
          <w:sz w:val="18"/>
          <w:szCs w:val="18"/>
        </w:rPr>
      </w:pPr>
      <w:r>
        <w:rPr>
          <w:sz w:val="18"/>
          <w:szCs w:val="18"/>
        </w:rPr>
        <w:t>[7]</w:t>
      </w:r>
      <w:r>
        <w:rPr>
          <w:sz w:val="18"/>
          <w:szCs w:val="18"/>
        </w:rPr>
        <w:tab/>
      </w:r>
      <w:r>
        <w:rPr>
          <w:sz w:val="18"/>
          <w:szCs w:val="18"/>
        </w:rPr>
        <w:t>LEE I, KIM G. Exponential curvature-compensated BiCMOS bandgap references[J]. IEEE Journal of Solid-state Circuits, 1994, 29: l396-1403.</w:t>
      </w:r>
    </w:p>
    <w:p w14:paraId="7ADB2E20">
      <w:pPr>
        <w:snapToGrid w:val="0"/>
        <w:spacing w:line="240" w:lineRule="exact"/>
        <w:ind w:left="270" w:hanging="270" w:hangingChars="150"/>
        <w:rPr>
          <w:rFonts w:eastAsia="楷体_GB2312"/>
          <w:sz w:val="18"/>
          <w:szCs w:val="18"/>
        </w:rPr>
      </w:pPr>
      <w:r>
        <w:rPr>
          <w:sz w:val="18"/>
          <w:szCs w:val="18"/>
        </w:rPr>
        <w:t>[8]</w:t>
      </w:r>
      <w:r>
        <w:rPr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>拉扎维. 模拟CMOS集成电路设计[M]. 陈贵灿, 译. 西安: 西安交通大学出版社, 2002, 12: 312-326.</w:t>
      </w:r>
    </w:p>
    <w:p w14:paraId="020BF5FD">
      <w:pPr>
        <w:snapToGrid w:val="0"/>
        <w:spacing w:line="240" w:lineRule="exact"/>
        <w:ind w:left="270" w:hanging="270" w:hangingChars="150"/>
        <w:rPr>
          <w:sz w:val="18"/>
          <w:szCs w:val="18"/>
        </w:rPr>
      </w:pPr>
      <w:r>
        <w:rPr>
          <w:sz w:val="18"/>
          <w:szCs w:val="18"/>
        </w:rPr>
        <w:t>[9]</w:t>
      </w:r>
      <w:r>
        <w:rPr>
          <w:sz w:val="18"/>
          <w:szCs w:val="18"/>
        </w:rPr>
        <w:tab/>
      </w:r>
      <w:r>
        <w:rPr>
          <w:sz w:val="18"/>
          <w:szCs w:val="18"/>
        </w:rPr>
        <w:t>BANBA H, SHIGA H, UMEZAWA A, et al. A CMOS bandgap reference circuit with Sub-1-V operation[J]. IEEE Journal of Solid-state Circuits, 1999, 34(5): 670-674.</w:t>
      </w:r>
    </w:p>
    <w:p w14:paraId="6BE7C07F">
      <w:pPr>
        <w:snapToGrid w:val="0"/>
        <w:spacing w:line="240" w:lineRule="exact"/>
        <w:ind w:left="360" w:hanging="360" w:hangingChars="200"/>
        <w:rPr>
          <w:rFonts w:hint="eastAsia"/>
          <w:sz w:val="18"/>
          <w:szCs w:val="18"/>
        </w:rPr>
      </w:pPr>
      <w:r>
        <w:rPr>
          <w:sz w:val="18"/>
          <w:szCs w:val="18"/>
        </w:rPr>
        <w:t>[10]</w:t>
      </w:r>
      <w:r>
        <w:rPr>
          <w:sz w:val="18"/>
          <w:szCs w:val="18"/>
        </w:rPr>
        <w:tab/>
      </w:r>
      <w:r>
        <w:rPr>
          <w:sz w:val="18"/>
          <w:szCs w:val="18"/>
        </w:rPr>
        <w:t>TSIVIDIS Y. Accurate analyzes of temperature effects in IC-VBE characteristics with application to bandgap reference sources[J]. IEEE Journal Solid-State Circuits, 2001, 15(6): 1076-1084.</w:t>
      </w:r>
    </w:p>
    <w:p w14:paraId="1338CFFF">
      <w:pPr>
        <w:snapToGrid w:val="0"/>
        <w:spacing w:line="240" w:lineRule="exact"/>
        <w:ind w:left="360" w:hanging="360" w:hangingChars="200"/>
        <w:rPr>
          <w:rFonts w:hint="eastAsia"/>
          <w:sz w:val="18"/>
          <w:szCs w:val="18"/>
        </w:rPr>
      </w:pPr>
    </w:p>
    <w:p w14:paraId="6E6E74F4">
      <w:pPr>
        <w:snapToGrid w:val="0"/>
        <w:spacing w:line="240" w:lineRule="exact"/>
        <w:ind w:left="360" w:hanging="360" w:hangingChars="200"/>
        <w:rPr>
          <w:rFonts w:hint="eastAsia"/>
          <w:sz w:val="18"/>
          <w:szCs w:val="18"/>
        </w:rPr>
      </w:pPr>
    </w:p>
    <w:p w14:paraId="063A51AB">
      <w:pPr>
        <w:spacing w:line="320" w:lineRule="exact"/>
        <w:jc w:val="center"/>
        <w:rPr>
          <w:rFonts w:hint="eastAsia"/>
          <w:b/>
          <w:sz w:val="32"/>
        </w:rPr>
      </w:pPr>
      <w:r>
        <w:rPr>
          <w:b/>
          <w:sz w:val="32"/>
        </w:rPr>
        <w:t>文章的英文标题</w:t>
      </w:r>
      <w:r>
        <w:rPr>
          <w:rFonts w:hint="eastAsia"/>
          <w:b/>
          <w:sz w:val="32"/>
        </w:rPr>
        <w:t>(4号，Times New Roman，加粗，居中)</w:t>
      </w:r>
    </w:p>
    <w:p w14:paraId="614C41DA">
      <w:pPr>
        <w:spacing w:line="240" w:lineRule="exact"/>
        <w:ind w:left="136" w:firstLine="714"/>
        <w:rPr>
          <w:b/>
          <w:sz w:val="32"/>
        </w:rPr>
      </w:pPr>
    </w:p>
    <w:p w14:paraId="6D39E4B7">
      <w:pPr>
        <w:spacing w:line="260" w:lineRule="exact"/>
        <w:jc w:val="center"/>
        <w:rPr>
          <w:bCs/>
        </w:rPr>
      </w:pPr>
      <w:r>
        <w:t>作者1英文名</w:t>
      </w:r>
      <w:r>
        <w:rPr>
          <w:rFonts w:eastAsia="仿宋_GB2312"/>
          <w:kern w:val="0"/>
          <w:szCs w:val="21"/>
        </w:rPr>
        <w:t xml:space="preserve">, </w:t>
      </w:r>
      <w:r>
        <w:t>作者2英文名</w:t>
      </w:r>
      <w:r>
        <w:rPr>
          <w:rFonts w:eastAsia="仿宋_GB2312"/>
          <w:kern w:val="0"/>
          <w:szCs w:val="21"/>
        </w:rPr>
        <w:t xml:space="preserve">, </w:t>
      </w:r>
      <w:r>
        <w:t>作者3英文名</w:t>
      </w:r>
      <w:r>
        <w:rPr>
          <w:vertAlign w:val="superscript"/>
        </w:rPr>
        <w:t>*</w:t>
      </w:r>
      <w:r>
        <w:rPr>
          <w:rFonts w:eastAsia="仿宋_GB2312"/>
          <w:kern w:val="0"/>
          <w:szCs w:val="21"/>
        </w:rPr>
        <w:t>, and</w:t>
      </w:r>
      <w:r>
        <w:t>作者4英文名(姓在前名在后，姓全部大写)</w:t>
      </w:r>
    </w:p>
    <w:p w14:paraId="2A10DAE0">
      <w:pPr>
        <w:pStyle w:val="21"/>
        <w:widowControl w:val="0"/>
        <w:adjustRightInd/>
        <w:spacing w:line="240" w:lineRule="exact"/>
        <w:rPr>
          <w:rFonts w:eastAsia="宋体"/>
        </w:rPr>
      </w:pPr>
    </w:p>
    <w:p w14:paraId="1923C959">
      <w:pPr>
        <w:pStyle w:val="9"/>
        <w:widowControl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</w:tabs>
        <w:snapToGrid w:val="0"/>
        <w:spacing w:line="270" w:lineRule="exact"/>
        <w:ind w:firstLine="42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Abstract</w:t>
      </w:r>
      <w:r>
        <w:rPr>
          <w:rFonts w:ascii="Times New Roman" w:hAnsi="Times New Roman" w:cs="Times New Roman"/>
          <w:sz w:val="21"/>
          <w:szCs w:val="21"/>
        </w:rPr>
        <w:t xml:space="preserve">  </w:t>
      </w:r>
      <w:r>
        <w:rPr>
          <w:rFonts w:ascii="Times New Roman" w:hAnsi="Times New Roman" w:eastAsia="楷体_GB2312" w:cs="Times New Roman"/>
          <w:sz w:val="21"/>
          <w:szCs w:val="21"/>
        </w:rPr>
        <w:t>英文摘要</w:t>
      </w:r>
      <w:r>
        <w:rPr>
          <w:rFonts w:hint="eastAsia" w:ascii="Times New Roman" w:hAnsi="Times New Roman" w:eastAsia="楷体_GB2312" w:cs="Times New Roman"/>
          <w:sz w:val="21"/>
          <w:szCs w:val="21"/>
        </w:rPr>
        <w:t>(与中文摘要相对应，5号，Times New Roman).</w:t>
      </w:r>
      <w:r>
        <w:rPr>
          <w:rFonts w:ascii="Times New Roman" w:hAnsi="Times New Roman" w:eastAsia="楷体_GB2312" w:cs="Times New Roman"/>
          <w:sz w:val="21"/>
          <w:szCs w:val="21"/>
        </w:rPr>
        <w:t xml:space="preserve"> </w:t>
      </w:r>
    </w:p>
    <w:p w14:paraId="65E9A56D">
      <w:pPr>
        <w:pStyle w:val="4"/>
        <w:snapToGrid w:val="0"/>
        <w:spacing w:line="280" w:lineRule="exact"/>
        <w:ind w:firstLine="422" w:firstLineChars="200"/>
        <w:rPr>
          <w:rFonts w:eastAsia="楷体_GB2312"/>
          <w:szCs w:val="21"/>
        </w:rPr>
      </w:pPr>
      <w:r>
        <w:rPr>
          <w:b/>
          <w:szCs w:val="21"/>
        </w:rPr>
        <w:t xml:space="preserve">Key words </w:t>
      </w:r>
      <w:r>
        <w:rPr>
          <w:rFonts w:eastAsia="楷体_GB2312"/>
          <w:szCs w:val="21"/>
        </w:rPr>
        <w:t xml:space="preserve"> 英文关键词1</w:t>
      </w:r>
      <w:r>
        <w:rPr>
          <w:rFonts w:eastAsia="新宋体"/>
          <w:kern w:val="0"/>
          <w:szCs w:val="21"/>
        </w:rPr>
        <w:t xml:space="preserve">;  </w:t>
      </w:r>
      <w:r>
        <w:rPr>
          <w:rFonts w:eastAsia="楷体_GB2312"/>
          <w:szCs w:val="21"/>
        </w:rPr>
        <w:t>英文关键词2</w:t>
      </w:r>
      <w:r>
        <w:rPr>
          <w:rFonts w:eastAsia="新宋体"/>
          <w:kern w:val="0"/>
          <w:szCs w:val="21"/>
        </w:rPr>
        <w:t xml:space="preserve">;  </w:t>
      </w:r>
      <w:r>
        <w:rPr>
          <w:rFonts w:eastAsia="楷体_GB2312"/>
          <w:szCs w:val="21"/>
        </w:rPr>
        <w:t>英文关键词3</w:t>
      </w:r>
      <w:r>
        <w:rPr>
          <w:rFonts w:eastAsia="新宋体"/>
          <w:kern w:val="0"/>
          <w:szCs w:val="21"/>
        </w:rPr>
        <w:t xml:space="preserve">;  </w:t>
      </w:r>
      <w:r>
        <w:rPr>
          <w:rFonts w:eastAsia="楷体_GB2312"/>
          <w:szCs w:val="21"/>
        </w:rPr>
        <w:t>英文关键词4</w:t>
      </w:r>
      <w:r>
        <w:rPr>
          <w:rFonts w:eastAsia="新宋体"/>
          <w:kern w:val="0"/>
          <w:szCs w:val="21"/>
        </w:rPr>
        <w:t xml:space="preserve">;  </w:t>
      </w:r>
      <w:r>
        <w:rPr>
          <w:rFonts w:eastAsia="楷体_GB2312"/>
          <w:szCs w:val="21"/>
        </w:rPr>
        <w:t>英文关键词5(与中文关键词相对应</w:t>
      </w:r>
      <w:r>
        <w:rPr>
          <w:rFonts w:hint="eastAsia" w:eastAsia="楷体_GB2312"/>
          <w:szCs w:val="21"/>
        </w:rPr>
        <w:t>，5号， Times New Roman</w:t>
      </w:r>
      <w:r>
        <w:rPr>
          <w:rFonts w:eastAsia="楷体_GB2312"/>
          <w:szCs w:val="21"/>
        </w:rPr>
        <w:t>)</w:t>
      </w:r>
    </w:p>
    <w:p w14:paraId="53960E32">
      <w:pPr>
        <w:spacing w:line="270" w:lineRule="exact"/>
        <w:ind w:firstLine="420" w:firstLineChars="200"/>
        <w:rPr>
          <w:rFonts w:eastAsia="楷体_GB2312"/>
          <w:szCs w:val="21"/>
        </w:rPr>
        <w:sectPr>
          <w:headerReference r:id="rId6" w:type="first"/>
          <w:headerReference r:id="rId4" w:type="default"/>
          <w:headerReference r:id="rId5" w:type="even"/>
          <w:pgSz w:w="11907" w:h="16840"/>
          <w:pgMar w:top="1361" w:right="1077" w:bottom="1639" w:left="1077" w:header="794" w:footer="794" w:gutter="0"/>
          <w:pgNumType w:start="865"/>
          <w:cols w:space="720" w:num="1"/>
          <w:titlePg/>
          <w:docGrid w:type="lines" w:linePitch="312" w:charSpace="0"/>
        </w:sectPr>
      </w:pPr>
    </w:p>
    <w:p w14:paraId="5DCD3652">
      <w:pPr>
        <w:spacing w:line="270" w:lineRule="exact"/>
        <w:ind w:firstLine="420" w:firstLineChars="200"/>
        <w:rPr>
          <w:rFonts w:eastAsia="楷体_GB2312"/>
          <w:szCs w:val="21"/>
        </w:rPr>
      </w:pPr>
    </w:p>
    <w:p w14:paraId="3EE5E271">
      <w:pPr>
        <w:snapToGrid w:val="0"/>
        <w:spacing w:line="240" w:lineRule="exact"/>
        <w:ind w:left="360" w:hanging="360" w:hangingChars="200"/>
        <w:rPr>
          <w:sz w:val="18"/>
          <w:szCs w:val="18"/>
        </w:rPr>
      </w:pPr>
    </w:p>
    <w:p w14:paraId="137A4434">
      <w:pPr>
        <w:snapToGrid w:val="0"/>
        <w:spacing w:line="312" w:lineRule="exact"/>
        <w:ind w:firstLine="420" w:firstLineChars="200"/>
      </w:pPr>
    </w:p>
    <w:p w14:paraId="4CF89DF9">
      <w:pPr>
        <w:wordWrap w:val="0"/>
        <w:snapToGrid w:val="0"/>
        <w:spacing w:line="312" w:lineRule="exact"/>
        <w:ind w:firstLine="420" w:firstLineChars="200"/>
        <w:jc w:val="right"/>
        <w:rPr>
          <w:rFonts w:eastAsia="黑体"/>
        </w:rPr>
        <w:sectPr>
          <w:type w:val="continuous"/>
          <w:pgSz w:w="11907" w:h="16840"/>
          <w:pgMar w:top="1361" w:right="1077" w:bottom="1639" w:left="1077" w:header="794" w:footer="794" w:gutter="0"/>
          <w:pgNumType w:start="1"/>
          <w:cols w:space="425" w:num="1"/>
          <w:titlePg/>
          <w:docGrid w:type="lines" w:linePitch="312" w:charSpace="0"/>
        </w:sectPr>
      </w:pPr>
      <w:r>
        <w:rPr>
          <w:rFonts w:eastAsia="黑体"/>
        </w:rPr>
        <w:t xml:space="preserve">编  辑    </w:t>
      </w:r>
    </w:p>
    <w:p w14:paraId="20CE3512">
      <w:pPr>
        <w:wordWrap w:val="0"/>
        <w:snapToGrid w:val="0"/>
        <w:spacing w:line="312" w:lineRule="exact"/>
        <w:ind w:firstLine="420" w:firstLineChars="200"/>
        <w:jc w:val="right"/>
      </w:pPr>
    </w:p>
    <w:p w14:paraId="12CC228E"/>
    <w:sectPr>
      <w:type w:val="continuous"/>
      <w:pgSz w:w="11907" w:h="16840"/>
      <w:pgMar w:top="1361" w:right="1077" w:bottom="1639" w:left="1077" w:header="794" w:footer="794" w:gutter="0"/>
      <w:pgNumType w:start="1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 w14:paraId="13106A6B">
      <w:pPr>
        <w:pStyle w:val="8"/>
        <w:ind w:firstLine="300" w:firstLineChars="200"/>
        <w:rPr>
          <w:rFonts w:hint="eastAsia"/>
          <w:sz w:val="15"/>
          <w:szCs w:val="15"/>
        </w:rPr>
      </w:pPr>
      <w:r>
        <w:rPr>
          <w:rFonts w:hint="eastAsia"/>
          <w:sz w:val="15"/>
          <w:szCs w:val="15"/>
        </w:rPr>
        <w:t>[收稿日期]</w:t>
      </w:r>
      <w:r>
        <w:rPr>
          <w:rFonts w:hint="eastAsia" w:hAnsi="宋体"/>
          <w:color w:val="000000"/>
          <w:sz w:val="15"/>
          <w:szCs w:val="15"/>
        </w:rPr>
        <w:t>　</w:t>
      </w:r>
      <w:r>
        <w:rPr>
          <w:rStyle w:val="13"/>
          <w:sz w:val="15"/>
          <w:szCs w:val="15"/>
        </w:rPr>
        <w:sym w:font="Symbol" w:char="F020"/>
      </w:r>
      <w:r>
        <w:rPr>
          <w:rFonts w:hint="eastAsia"/>
          <w:sz w:val="15"/>
          <w:szCs w:val="15"/>
        </w:rPr>
        <w:t xml:space="preserve">2021 </w:t>
      </w:r>
      <w:r>
        <w:rPr>
          <w:rFonts w:hint="eastAsia"/>
          <w:color w:val="000000"/>
          <w:sz w:val="15"/>
          <w:szCs w:val="15"/>
        </w:rPr>
        <w:sym w:font="Symbol" w:char="F02D"/>
      </w:r>
      <w:r>
        <w:rPr>
          <w:rFonts w:hint="eastAsia"/>
          <w:color w:val="000000"/>
          <w:sz w:val="15"/>
          <w:szCs w:val="15"/>
        </w:rPr>
        <w:t xml:space="preserve"> 07 </w:t>
      </w:r>
      <w:r>
        <w:rPr>
          <w:rFonts w:hint="eastAsia"/>
          <w:color w:val="000000"/>
          <w:sz w:val="15"/>
          <w:szCs w:val="15"/>
        </w:rPr>
        <w:sym w:font="Symbol" w:char="F02D"/>
      </w:r>
      <w:r>
        <w:rPr>
          <w:rFonts w:hint="eastAsia"/>
          <w:color w:val="000000"/>
          <w:sz w:val="15"/>
          <w:szCs w:val="15"/>
        </w:rPr>
        <w:t xml:space="preserve"> 21</w:t>
      </w:r>
    </w:p>
    <w:p w14:paraId="050F4044">
      <w:pPr>
        <w:pStyle w:val="8"/>
        <w:ind w:firstLine="300" w:firstLineChars="200"/>
        <w:rPr>
          <w:rFonts w:hint="eastAsia"/>
          <w:sz w:val="15"/>
          <w:szCs w:val="15"/>
        </w:rPr>
      </w:pPr>
      <w:r>
        <w:rPr>
          <w:rFonts w:hint="eastAsia"/>
          <w:sz w:val="15"/>
          <w:szCs w:val="15"/>
        </w:rPr>
        <w:t>[基金项目]</w:t>
      </w:r>
      <w:r>
        <w:rPr>
          <w:rFonts w:hint="eastAsia" w:hAnsi="宋体"/>
          <w:color w:val="000000"/>
          <w:sz w:val="15"/>
          <w:szCs w:val="15"/>
        </w:rPr>
        <w:t>　</w:t>
      </w:r>
      <w:r>
        <w:rPr>
          <w:rFonts w:hint="eastAsia"/>
          <w:sz w:val="15"/>
          <w:szCs w:val="15"/>
        </w:rPr>
        <w:t>部省级以上</w:t>
      </w:r>
      <w:r>
        <w:rPr>
          <w:rFonts w:hint="eastAsia"/>
          <w:sz w:val="15"/>
        </w:rPr>
        <w:t>基金或项目名称(编号)1；</w:t>
      </w:r>
      <w:r>
        <w:rPr>
          <w:rFonts w:hint="eastAsia"/>
          <w:sz w:val="15"/>
          <w:szCs w:val="15"/>
        </w:rPr>
        <w:t>部省级以上</w:t>
      </w:r>
      <w:r>
        <w:rPr>
          <w:rFonts w:hint="eastAsia"/>
          <w:sz w:val="15"/>
        </w:rPr>
        <w:t>基金或项目名称(编号)2</w:t>
      </w:r>
      <w:r>
        <w:rPr>
          <w:rFonts w:hint="eastAsia"/>
          <w:sz w:val="15"/>
          <w:szCs w:val="15"/>
        </w:rPr>
        <w:t xml:space="preserve"> </w:t>
      </w:r>
    </w:p>
    <w:p w14:paraId="37571EE5">
      <w:pPr>
        <w:pStyle w:val="8"/>
        <w:spacing w:line="210" w:lineRule="exact"/>
        <w:ind w:firstLine="300"/>
        <w:rPr>
          <w:rFonts w:hint="eastAsia" w:hAnsi="宋体"/>
          <w:color w:val="000000"/>
          <w:sz w:val="15"/>
          <w:szCs w:val="15"/>
        </w:rPr>
      </w:pPr>
      <w:r>
        <w:rPr>
          <w:rFonts w:hint="eastAsia"/>
          <w:sz w:val="15"/>
          <w:szCs w:val="15"/>
        </w:rPr>
        <w:t>[作者简介]</w:t>
      </w:r>
      <w:r>
        <w:rPr>
          <w:rFonts w:hint="eastAsia" w:hAnsi="宋体"/>
          <w:color w:val="000000"/>
          <w:sz w:val="15"/>
          <w:szCs w:val="15"/>
        </w:rPr>
        <w:t>　</w:t>
      </w:r>
      <w:r>
        <w:rPr>
          <w:rFonts w:hint="eastAsia"/>
          <w:sz w:val="15"/>
          <w:szCs w:val="15"/>
        </w:rPr>
        <w:t xml:space="preserve">第一作者姓名(1964 </w:t>
      </w:r>
      <w:r>
        <w:rPr>
          <w:rFonts w:hint="eastAsia"/>
          <w:sz w:val="15"/>
          <w:szCs w:val="15"/>
        </w:rPr>
        <w:sym w:font="Symbol" w:char="F02D"/>
      </w:r>
      <w:r>
        <w:rPr>
          <w:rFonts w:hint="eastAsia"/>
          <w:sz w:val="15"/>
          <w:szCs w:val="15"/>
        </w:rPr>
        <w:t xml:space="preserve"> )性别，****大学***学院博士生/教授/硕士生/副教授/***</w:t>
      </w:r>
      <w:r>
        <w:rPr>
          <w:rFonts w:hint="eastAsia" w:hAnsi="宋体"/>
          <w:color w:val="000000"/>
          <w:sz w:val="15"/>
          <w:szCs w:val="15"/>
        </w:rPr>
        <w:t>.</w:t>
      </w:r>
    </w:p>
    <w:p w14:paraId="5A9968E7">
      <w:pPr>
        <w:pStyle w:val="8"/>
        <w:spacing w:line="210" w:lineRule="exact"/>
        <w:ind w:firstLine="300"/>
        <w:rPr>
          <w:rFonts w:hint="eastAsia" w:hAnsi="宋体"/>
          <w:color w:val="000000"/>
          <w:sz w:val="15"/>
          <w:szCs w:val="15"/>
        </w:rPr>
      </w:pPr>
      <w:r>
        <w:rPr>
          <w:rFonts w:hint="eastAsia" w:hAnsi="宋体"/>
          <w:color w:val="000000"/>
          <w:sz w:val="15"/>
          <w:szCs w:val="15"/>
        </w:rPr>
        <w:t>[通信作者]　姓名，E-mail：</w:t>
      </w:r>
    </w:p>
    <w:p w14:paraId="67905704">
      <w:pPr>
        <w:pStyle w:val="8"/>
        <w:spacing w:line="210" w:lineRule="exact"/>
        <w:ind w:firstLine="300"/>
        <w:rPr>
          <w:rFonts w:hint="eastAsia"/>
          <w:sz w:val="15"/>
          <w:szCs w:val="21"/>
        </w:rPr>
      </w:pPr>
      <w:r>
        <w:rPr>
          <w:rFonts w:hint="eastAsia"/>
          <w:sz w:val="15"/>
          <w:szCs w:val="21"/>
        </w:rPr>
        <w:t>[引用格式]　</w:t>
      </w:r>
    </w:p>
    <w:p w14:paraId="5BB95EF9">
      <w:pPr>
        <w:pStyle w:val="8"/>
        <w:spacing w:line="210" w:lineRule="exact"/>
        <w:ind w:firstLine="300"/>
        <w:rPr>
          <w:rFonts w:hint="eastAsia"/>
          <w:sz w:val="15"/>
          <w:szCs w:val="21"/>
        </w:rPr>
      </w:pPr>
      <w:r>
        <w:rPr>
          <w:rFonts w:hint="eastAsia"/>
          <w:sz w:val="15"/>
          <w:szCs w:val="21"/>
        </w:rPr>
        <w:t>[Citation Format]　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CEA75C">
    <w:pPr>
      <w:pStyle w:val="7"/>
      <w:framePr w:w="788" w:wrap="around" w:vAnchor="text" w:hAnchor="page" w:x="10048" w:y="-5"/>
      <w:pBdr>
        <w:bottom w:val="none" w:color="auto" w:sz="0" w:space="0"/>
      </w:pBdr>
      <w:autoSpaceDE/>
      <w:autoSpaceDN/>
      <w:ind w:right="170"/>
      <w:jc w:val="right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separate"/>
    </w:r>
    <w:r>
      <w:rPr>
        <w:rStyle w:val="12"/>
      </w:rPr>
      <w:t>866</w:t>
    </w:r>
    <w:r>
      <w:rPr>
        <w:rStyle w:val="12"/>
      </w:rPr>
      <w:fldChar w:fldCharType="end"/>
    </w:r>
    <w:r>
      <w:rPr>
        <w:rStyle w:val="12"/>
      </w:rPr>
      <w:t xml:space="preserve">  </w:t>
    </w:r>
  </w:p>
  <w:p w14:paraId="3ED29015">
    <w:pPr>
      <w:pStyle w:val="7"/>
      <w:jc w:val="both"/>
      <w:rPr>
        <w:rFonts w:hint="eastAsia"/>
      </w:rPr>
    </w:pPr>
    <w:r>
      <w:rPr>
        <w:rFonts w:hint="eastAsia"/>
      </w:rPr>
      <w:t xml:space="preserve">  第1期                         吴志明 等:  非线性补偿的低温漂低功耗CMOS带隙基准源的设计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12B045">
    <w:pPr>
      <w:pStyle w:val="7"/>
      <w:framePr w:wrap="around" w:vAnchor="text" w:hAnchor="margin" w:xAlign="outside" w:y="1"/>
      <w:pBdr>
        <w:bottom w:val="none" w:color="auto" w:sz="0" w:space="0"/>
      </w:pBdr>
      <w:ind w:firstLine="215"/>
      <w:jc w:val="both"/>
      <w:rPr>
        <w:rStyle w:val="12"/>
      </w:rPr>
    </w:pPr>
    <w:r>
      <w:rPr>
        <w:rStyle w:val="12"/>
      </w:rPr>
      <w:fldChar w:fldCharType="begin"/>
    </w:r>
    <w:r>
      <w:rPr>
        <w:rStyle w:val="12"/>
      </w:rPr>
      <w:instrText xml:space="preserve">PAGE  </w:instrText>
    </w:r>
    <w:r>
      <w:rPr>
        <w:rStyle w:val="12"/>
      </w:rPr>
      <w:fldChar w:fldCharType="separate"/>
    </w:r>
    <w:r>
      <w:rPr>
        <w:rStyle w:val="12"/>
      </w:rPr>
      <w:t>2</w:t>
    </w:r>
    <w:r>
      <w:rPr>
        <w:rStyle w:val="12"/>
      </w:rPr>
      <w:fldChar w:fldCharType="end"/>
    </w:r>
  </w:p>
  <w:p w14:paraId="52700B91">
    <w:pPr>
      <w:pStyle w:val="7"/>
      <w:autoSpaceDE/>
      <w:autoSpaceDN/>
      <w:ind w:right="6"/>
      <w:jc w:val="both"/>
    </w:pPr>
    <w:r>
      <w:rPr>
        <w:rFonts w:hint="eastAsia"/>
      </w:rPr>
      <w:t xml:space="preserve">                                 </w:t>
    </w:r>
    <w:r>
      <w:t xml:space="preserve">  </w:t>
    </w:r>
    <w:r>
      <w:rPr>
        <w:rFonts w:hint="eastAsia"/>
      </w:rPr>
      <w:t xml:space="preserve">        电 子 科 技 大 学 学 报            </w:t>
    </w:r>
    <w:r>
      <w:t xml:space="preserve">  </w:t>
    </w:r>
    <w:r>
      <w:rPr>
        <w:rFonts w:hint="eastAsia"/>
      </w:rPr>
      <w:t xml:space="preserve">  </w:t>
    </w:r>
    <w:r>
      <w:t xml:space="preserve">  </w:t>
    </w:r>
    <w:r>
      <w:rPr>
        <w:rFonts w:hint="eastAsia"/>
      </w:rPr>
      <w:t xml:space="preserve">          </w:t>
    </w:r>
    <w:r>
      <w:t xml:space="preserve"> </w:t>
    </w:r>
    <w:r>
      <w:rPr>
        <w:rFonts w:hint="eastAsia"/>
        <w:sz w:val="24"/>
      </w:rPr>
      <w:t xml:space="preserve"> </w:t>
    </w:r>
    <w:r>
      <w:rPr>
        <w:rFonts w:hint="eastAsia"/>
      </w:rPr>
      <w:t xml:space="preserve">   第50卷</w:t>
    </w:r>
    <w:r>
      <w:t xml:space="preserve">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DAFA32">
    <w:pPr>
      <w:pStyle w:val="7"/>
      <w:pBdr>
        <w:bottom w:val="none" w:color="auto" w:sz="0" w:space="0"/>
      </w:pBdr>
      <w:autoSpaceDE/>
      <w:autoSpaceDN/>
      <w:jc w:val="both"/>
    </w:pPr>
    <w:r>
      <w:t xml:space="preserve">  </w:t>
    </w:r>
    <w:r>
      <w:rPr>
        <w:rFonts w:hint="eastAsia"/>
      </w:rPr>
      <w:t xml:space="preserve">第26卷  第1期                  </w:t>
    </w:r>
    <w:r>
      <w:t xml:space="preserve">  </w:t>
    </w:r>
    <w:r>
      <w:rPr>
        <w:rFonts w:hint="eastAsia"/>
      </w:rPr>
      <w:t xml:space="preserve">   </w:t>
    </w:r>
    <w:r>
      <w:t xml:space="preserve">  </w:t>
    </w:r>
    <w:r>
      <w:rPr>
        <w:rFonts w:hint="eastAsia"/>
      </w:rPr>
      <w:t xml:space="preserve"> 电子科技大学学报（社科版）  </w:t>
    </w:r>
    <w:r>
      <w:t xml:space="preserve">  </w:t>
    </w:r>
    <w:r>
      <w:rPr>
        <w:rFonts w:hint="eastAsia"/>
      </w:rPr>
      <w:t xml:space="preserve">   </w:t>
    </w:r>
    <w:r>
      <w:t xml:space="preserve">  </w:t>
    </w:r>
    <w:r>
      <w:rPr>
        <w:rFonts w:hint="eastAsia"/>
      </w:rPr>
      <w:t xml:space="preserve">          </w:t>
    </w:r>
    <w:r>
      <w:t xml:space="preserve">  </w:t>
    </w:r>
    <w:r>
      <w:rPr>
        <w:rFonts w:hint="eastAsia"/>
      </w:rPr>
      <w:t xml:space="preserve">        V</w:t>
    </w:r>
    <w:r>
      <w:t>ol.</w:t>
    </w:r>
    <w:r>
      <w:rPr>
        <w:rFonts w:hint="eastAsia"/>
      </w:rPr>
      <w:t>26</w:t>
    </w:r>
    <w:r>
      <w:t xml:space="preserve">  No.</w:t>
    </w:r>
    <w:r>
      <w:rPr>
        <w:rFonts w:hint="eastAsia"/>
      </w:rPr>
      <w:t>1</w:t>
    </w:r>
    <w:r>
      <w:t xml:space="preserve">  </w:t>
    </w:r>
  </w:p>
  <w:p w14:paraId="18DEB366">
    <w:pPr>
      <w:pStyle w:val="7"/>
      <w:pBdr>
        <w:bottom w:val="double" w:color="auto" w:sz="4" w:space="1"/>
      </w:pBdr>
      <w:jc w:val="both"/>
    </w:pPr>
    <w:r>
      <w:t xml:space="preserve"> </w:t>
    </w:r>
    <w:r>
      <w:rPr>
        <w:rFonts w:hint="eastAsia"/>
      </w:rPr>
      <w:t xml:space="preserve"> </w:t>
    </w:r>
    <w:r>
      <w:t xml:space="preserve"> </w:t>
    </w:r>
    <w:r>
      <w:rPr>
        <w:rFonts w:hint="eastAsia"/>
        <w:sz w:val="13"/>
      </w:rPr>
      <w:t xml:space="preserve">  </w:t>
    </w:r>
    <w:r>
      <w:t>20</w:t>
    </w:r>
    <w:r>
      <w:rPr>
        <w:rFonts w:hint="eastAsia"/>
      </w:rPr>
      <w:t xml:space="preserve">25年2月                        Journal of UESTC（Social Sciences Edition）  </w:t>
    </w:r>
    <w:r>
      <w:t xml:space="preserve"> </w:t>
    </w:r>
    <w:r>
      <w:rPr>
        <w:rFonts w:hint="eastAsia"/>
      </w:rPr>
      <w:t xml:space="preserve">                  </w:t>
    </w:r>
    <w:r>
      <w:t xml:space="preserve"> </w:t>
    </w:r>
    <w:r>
      <w:rPr>
        <w:sz w:val="15"/>
      </w:rPr>
      <w:t xml:space="preserve"> </w:t>
    </w:r>
    <w:r>
      <w:rPr>
        <w:rFonts w:hint="eastAsia"/>
        <w:sz w:val="13"/>
      </w:rPr>
      <w:t xml:space="preserve"> </w:t>
    </w:r>
    <w:r>
      <w:t>Feb. 20</w:t>
    </w:r>
    <w:r>
      <w:rPr>
        <w:rFonts w:hint="eastAsia"/>
      </w:rPr>
      <w:t>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A59"/>
    <w:rsid w:val="003A4F79"/>
    <w:rsid w:val="00744A59"/>
    <w:rsid w:val="009304C9"/>
    <w:rsid w:val="00B36754"/>
    <w:rsid w:val="4038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unhideWhenUsed="0" w:uiPriority="0" w:name="footnote text"/>
    <w:lsdException w:uiPriority="99" w:name="annotation text"/>
    <w:lsdException w:unhideWhenUsed="0" w:uiPriority="0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nhideWhenUsed="0" w:uiPriority="0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keepLines/>
      <w:spacing w:before="360" w:after="360"/>
      <w:jc w:val="center"/>
      <w:outlineLvl w:val="0"/>
    </w:pPr>
    <w:rPr>
      <w:rFonts w:eastAsia="黑体"/>
      <w:b/>
      <w:kern w:val="44"/>
      <w:sz w:val="36"/>
    </w:rPr>
  </w:style>
  <w:style w:type="paragraph" w:styleId="3">
    <w:name w:val="heading 2"/>
    <w:basedOn w:val="1"/>
    <w:next w:val="4"/>
    <w:link w:val="15"/>
    <w:qFormat/>
    <w:uiPriority w:val="0"/>
    <w:pPr>
      <w:keepNext/>
      <w:keepLines/>
      <w:spacing w:before="120" w:after="120" w:line="330" w:lineRule="exact"/>
      <w:outlineLvl w:val="1"/>
    </w:pPr>
    <w:rPr>
      <w:rFonts w:eastAsia="黑体"/>
      <w:b/>
      <w:sz w:val="28"/>
    </w:rPr>
  </w:style>
  <w:style w:type="paragraph" w:styleId="5">
    <w:name w:val="heading 3"/>
    <w:basedOn w:val="1"/>
    <w:next w:val="4"/>
    <w:link w:val="16"/>
    <w:qFormat/>
    <w:uiPriority w:val="0"/>
    <w:pPr>
      <w:keepNext/>
      <w:keepLines/>
      <w:spacing w:line="330" w:lineRule="exact"/>
      <w:outlineLvl w:val="2"/>
    </w:pPr>
    <w:rPr>
      <w:rFonts w:eastAsia="黑体"/>
      <w:b/>
    </w:rPr>
  </w:style>
  <w:style w:type="paragraph" w:styleId="6">
    <w:name w:val="heading 5"/>
    <w:basedOn w:val="1"/>
    <w:next w:val="4"/>
    <w:link w:val="17"/>
    <w:qFormat/>
    <w:uiPriority w:val="0"/>
    <w:pPr>
      <w:keepNext/>
      <w:keepLines/>
      <w:jc w:val="center"/>
      <w:outlineLvl w:val="4"/>
    </w:pPr>
    <w:rPr>
      <w:rFonts w:eastAsia="仿宋_GB2312"/>
      <w:sz w:val="28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uiPriority w:val="0"/>
    <w:pPr>
      <w:ind w:firstLine="420"/>
    </w:pPr>
  </w:style>
  <w:style w:type="paragraph" w:styleId="7">
    <w:name w:val="header"/>
    <w:basedOn w:val="1"/>
    <w:link w:val="1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</w:rPr>
  </w:style>
  <w:style w:type="paragraph" w:styleId="8">
    <w:name w:val="footnote text"/>
    <w:basedOn w:val="1"/>
    <w:link w:val="19"/>
    <w:semiHidden/>
    <w:uiPriority w:val="0"/>
    <w:pPr>
      <w:snapToGrid w:val="0"/>
      <w:jc w:val="left"/>
    </w:pPr>
    <w:rPr>
      <w:sz w:val="18"/>
    </w:rPr>
  </w:style>
  <w:style w:type="paragraph" w:styleId="9">
    <w:name w:val="HTML Preformatted"/>
    <w:basedOn w:val="1"/>
    <w:link w:val="20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jc w:val="left"/>
    </w:pPr>
    <w:rPr>
      <w:rFonts w:ascii="宋体" w:hAnsi="宋体" w:cs="宋体"/>
      <w:kern w:val="0"/>
      <w:sz w:val="24"/>
      <w:szCs w:val="24"/>
    </w:rPr>
  </w:style>
  <w:style w:type="character" w:styleId="12">
    <w:name w:val="page number"/>
    <w:basedOn w:val="11"/>
    <w:uiPriority w:val="0"/>
  </w:style>
  <w:style w:type="character" w:styleId="13">
    <w:name w:val="footnote reference"/>
    <w:basedOn w:val="11"/>
    <w:semiHidden/>
    <w:uiPriority w:val="0"/>
    <w:rPr>
      <w:vertAlign w:val="superscript"/>
    </w:rPr>
  </w:style>
  <w:style w:type="character" w:customStyle="1" w:styleId="14">
    <w:name w:val="标题 1 Char"/>
    <w:basedOn w:val="11"/>
    <w:link w:val="2"/>
    <w:uiPriority w:val="0"/>
    <w:rPr>
      <w:rFonts w:ascii="Times New Roman" w:hAnsi="Times New Roman" w:eastAsia="黑体" w:cs="Times New Roman"/>
      <w:b/>
      <w:kern w:val="44"/>
      <w:sz w:val="36"/>
      <w:szCs w:val="20"/>
    </w:rPr>
  </w:style>
  <w:style w:type="character" w:customStyle="1" w:styleId="15">
    <w:name w:val="标题 2 Char"/>
    <w:basedOn w:val="11"/>
    <w:link w:val="3"/>
    <w:uiPriority w:val="0"/>
    <w:rPr>
      <w:rFonts w:ascii="Times New Roman" w:hAnsi="Times New Roman" w:eastAsia="黑体" w:cs="Times New Roman"/>
      <w:b/>
      <w:sz w:val="28"/>
      <w:szCs w:val="20"/>
    </w:rPr>
  </w:style>
  <w:style w:type="character" w:customStyle="1" w:styleId="16">
    <w:name w:val="标题 3 Char"/>
    <w:basedOn w:val="11"/>
    <w:link w:val="5"/>
    <w:uiPriority w:val="0"/>
    <w:rPr>
      <w:rFonts w:ascii="Times New Roman" w:hAnsi="Times New Roman" w:eastAsia="黑体" w:cs="Times New Roman"/>
      <w:b/>
      <w:szCs w:val="20"/>
    </w:rPr>
  </w:style>
  <w:style w:type="character" w:customStyle="1" w:styleId="17">
    <w:name w:val="标题 5 Char"/>
    <w:basedOn w:val="11"/>
    <w:link w:val="6"/>
    <w:uiPriority w:val="0"/>
    <w:rPr>
      <w:rFonts w:ascii="Times New Roman" w:hAnsi="Times New Roman" w:eastAsia="仿宋_GB2312" w:cs="Times New Roman"/>
      <w:sz w:val="28"/>
      <w:szCs w:val="20"/>
    </w:rPr>
  </w:style>
  <w:style w:type="character" w:customStyle="1" w:styleId="18">
    <w:name w:val="页眉 Char"/>
    <w:basedOn w:val="11"/>
    <w:link w:val="7"/>
    <w:uiPriority w:val="0"/>
    <w:rPr>
      <w:rFonts w:ascii="Times New Roman" w:hAnsi="Times New Roman" w:eastAsia="宋体" w:cs="Times New Roman"/>
      <w:sz w:val="18"/>
      <w:szCs w:val="20"/>
    </w:rPr>
  </w:style>
  <w:style w:type="character" w:customStyle="1" w:styleId="19">
    <w:name w:val="脚注文本 Char"/>
    <w:basedOn w:val="11"/>
    <w:link w:val="8"/>
    <w:semiHidden/>
    <w:uiPriority w:val="0"/>
    <w:rPr>
      <w:rFonts w:ascii="Times New Roman" w:hAnsi="Times New Roman" w:eastAsia="宋体" w:cs="Times New Roman"/>
      <w:sz w:val="18"/>
      <w:szCs w:val="20"/>
    </w:rPr>
  </w:style>
  <w:style w:type="character" w:customStyle="1" w:styleId="20">
    <w:name w:val="HTML 预设格式 Char"/>
    <w:basedOn w:val="11"/>
    <w:link w:val="9"/>
    <w:qFormat/>
    <w:uiPriority w:val="0"/>
    <w:rPr>
      <w:rFonts w:ascii="宋体" w:hAnsi="宋体" w:eastAsia="宋体" w:cs="宋体"/>
      <w:kern w:val="0"/>
      <w:sz w:val="24"/>
      <w:szCs w:val="24"/>
    </w:rPr>
  </w:style>
  <w:style w:type="paragraph" w:customStyle="1" w:styleId="21">
    <w:name w:val="二级标题"/>
    <w:basedOn w:val="1"/>
    <w:next w:val="1"/>
    <w:uiPriority w:val="0"/>
    <w:pPr>
      <w:widowControl/>
      <w:adjustRightInd w:val="0"/>
      <w:snapToGrid w:val="0"/>
    </w:pPr>
    <w:rPr>
      <w:rFonts w:eastAsia="方正黑体简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wmf"/><Relationship Id="rId8" Type="http://schemas.openxmlformats.org/officeDocument/2006/relationships/oleObject" Target="embeddings/oleObject1.bin"/><Relationship Id="rId7" Type="http://schemas.openxmlformats.org/officeDocument/2006/relationships/theme" Target="theme/theme1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2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583C0-A04D-420C-A16D-82E42BB442C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792</Words>
  <Characters>1876</Characters>
  <Lines>15</Lines>
  <Paragraphs>4</Paragraphs>
  <TotalTime>3</TotalTime>
  <ScaleCrop>false</ScaleCrop>
  <LinksUpToDate>false</LinksUpToDate>
  <CharactersWithSpaces>2150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2025-04-01T03:03:00Z</dcterms:created>
  <dc:creator>MM</dc:creator>
  <cp:lastModifiedBy>朱娜</cp:lastModifiedBy>
  <dcterms:modified xsi:type="dcterms:W3CDTF">2025-04-02T01:51:25Z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B33C5D61D5C64A4990DE52FB10B7EDF8_13</vt:lpwstr>
  </property>
</Properties>
</file>